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07CB" w14:textId="77777777" w:rsidR="004B4F55" w:rsidRDefault="004B4F55" w:rsidP="00D912C3">
      <w:pPr>
        <w:rPr>
          <w:rFonts w:ascii="Segoe UI Light" w:hAnsi="Segoe UI Light" w:cs="Segoe UI Light"/>
          <w:iCs/>
          <w:sz w:val="22"/>
          <w:szCs w:val="22"/>
          <w:lang w:val="en-GB"/>
        </w:rPr>
      </w:pPr>
    </w:p>
    <w:p w14:paraId="1F674303" w14:textId="77777777" w:rsidR="00DB3749" w:rsidRDefault="00DB3749" w:rsidP="00D912C3">
      <w:pPr>
        <w:rPr>
          <w:rFonts w:ascii="Segoe UI Light" w:hAnsi="Segoe UI Light" w:cs="Segoe UI Light"/>
          <w:iCs/>
          <w:sz w:val="22"/>
          <w:szCs w:val="22"/>
          <w:lang w:val="en-GB"/>
        </w:rPr>
      </w:pPr>
    </w:p>
    <w:p w14:paraId="2AA8E2A9" w14:textId="77777777" w:rsidR="00712CBB" w:rsidRPr="00712CBB" w:rsidRDefault="00712CBB" w:rsidP="00712CBB">
      <w:pPr>
        <w:spacing w:line="256" w:lineRule="auto"/>
        <w:ind w:left="850"/>
        <w:rPr>
          <w:rFonts w:ascii="Arial" w:eastAsia="Arial" w:hAnsi="Arial" w:cs="Arial"/>
          <w:color w:val="000000"/>
          <w:kern w:val="2"/>
          <w:lang w:val="en-GB" w:eastAsia="en-GB"/>
          <w14:ligatures w14:val="standardContextual"/>
        </w:rPr>
      </w:pPr>
    </w:p>
    <w:p w14:paraId="2E8BBA37" w14:textId="0DDD5013" w:rsidR="00712CBB" w:rsidRPr="00712CBB" w:rsidRDefault="00712CBB" w:rsidP="00712CBB">
      <w:pPr>
        <w:spacing w:line="256" w:lineRule="auto"/>
        <w:ind w:left="545"/>
        <w:rPr>
          <w:rFonts w:asciiTheme="minorHAnsi" w:eastAsia="Arial" w:hAnsiTheme="minorHAnsi" w:cstheme="minorHAnsi"/>
          <w:b/>
          <w:bCs/>
          <w:color w:val="000000"/>
          <w:kern w:val="2"/>
          <w:sz w:val="32"/>
          <w:szCs w:val="32"/>
          <w:u w:val="single"/>
          <w:lang w:val="en-GB" w:eastAsia="en-GB"/>
          <w14:ligatures w14:val="standardContextual"/>
        </w:rPr>
      </w:pPr>
      <w:proofErr w:type="spellStart"/>
      <w:r w:rsidRPr="00712CBB">
        <w:rPr>
          <w:rFonts w:asciiTheme="minorHAnsi" w:eastAsia="Arial" w:hAnsiTheme="minorHAnsi" w:cstheme="minorHAnsi"/>
          <w:b/>
          <w:bCs/>
          <w:color w:val="000000"/>
          <w:kern w:val="2"/>
          <w:sz w:val="32"/>
          <w:szCs w:val="32"/>
          <w:u w:val="single"/>
          <w:lang w:val="en-GB" w:eastAsia="en-GB"/>
          <w14:ligatures w14:val="standardContextual"/>
        </w:rPr>
        <w:t>Coatham</w:t>
      </w:r>
      <w:proofErr w:type="spellEnd"/>
      <w:r w:rsidRPr="00712CBB">
        <w:rPr>
          <w:rFonts w:asciiTheme="minorHAnsi" w:eastAsia="Arial" w:hAnsiTheme="minorHAnsi" w:cstheme="minorHAnsi"/>
          <w:b/>
          <w:bCs/>
          <w:color w:val="000000"/>
          <w:kern w:val="2"/>
          <w:sz w:val="32"/>
          <w:szCs w:val="32"/>
          <w:u w:val="single"/>
          <w:lang w:val="en-GB" w:eastAsia="en-GB"/>
          <w14:ligatures w14:val="standardContextual"/>
        </w:rPr>
        <w:t xml:space="preserve"> Surgery Infection Control Annual Statement</w:t>
      </w:r>
      <w:r w:rsidR="00332DEC">
        <w:rPr>
          <w:rFonts w:asciiTheme="minorHAnsi" w:eastAsia="Arial" w:hAnsiTheme="minorHAnsi" w:cstheme="minorHAnsi"/>
          <w:b/>
          <w:bCs/>
          <w:color w:val="000000"/>
          <w:kern w:val="2"/>
          <w:sz w:val="32"/>
          <w:szCs w:val="32"/>
          <w:u w:val="single"/>
          <w:lang w:val="en-GB" w:eastAsia="en-GB"/>
          <w14:ligatures w14:val="standardContextual"/>
        </w:rPr>
        <w:t xml:space="preserve"> April </w:t>
      </w:r>
      <w:r w:rsidRPr="00712CBB">
        <w:rPr>
          <w:rFonts w:asciiTheme="minorHAnsi" w:eastAsia="Arial" w:hAnsiTheme="minorHAnsi" w:cstheme="minorHAnsi"/>
          <w:b/>
          <w:bCs/>
          <w:color w:val="000000"/>
          <w:kern w:val="2"/>
          <w:sz w:val="32"/>
          <w:szCs w:val="32"/>
          <w:u w:val="single"/>
          <w:lang w:val="en-GB" w:eastAsia="en-GB"/>
          <w14:ligatures w14:val="standardContextual"/>
        </w:rPr>
        <w:t xml:space="preserve">2025 </w:t>
      </w:r>
    </w:p>
    <w:p w14:paraId="4173973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A7DCF0A"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Purpose</w:t>
      </w:r>
      <w:r w:rsidRPr="00712CBB">
        <w:rPr>
          <w:rFonts w:ascii="Arial" w:eastAsia="Arial" w:hAnsi="Arial" w:cs="Arial"/>
          <w:color w:val="000000"/>
          <w:kern w:val="2"/>
          <w:u w:color="000000"/>
          <w:lang w:val="en-GB" w:eastAsia="en-GB"/>
          <w14:ligatures w14:val="standardContextual"/>
        </w:rPr>
        <w:t xml:space="preserve"> </w:t>
      </w:r>
    </w:p>
    <w:p w14:paraId="177C57E0"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843EA6B" w14:textId="032D81FC"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This annual statement will be generated each year in </w:t>
      </w:r>
      <w:r w:rsidR="00332DEC">
        <w:rPr>
          <w:rFonts w:ascii="Arial" w:eastAsia="Arial" w:hAnsi="Arial" w:cs="Arial"/>
          <w:color w:val="000000"/>
          <w:kern w:val="2"/>
          <w:lang w:val="en-GB" w:eastAsia="en-GB"/>
          <w14:ligatures w14:val="standardContextual"/>
        </w:rPr>
        <w:t>April</w:t>
      </w:r>
      <w:r w:rsidRPr="00712CBB">
        <w:rPr>
          <w:rFonts w:ascii="Arial" w:eastAsia="Arial" w:hAnsi="Arial" w:cs="Arial"/>
          <w:color w:val="000000"/>
          <w:kern w:val="2"/>
          <w:lang w:val="en-GB" w:eastAsia="en-GB"/>
          <w14:ligatures w14:val="standardContextual"/>
        </w:rPr>
        <w:t xml:space="preserve">. It will summarise: </w:t>
      </w:r>
    </w:p>
    <w:p w14:paraId="0084CDA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1D193A0"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Any infection transmission incidents and any action taken (these will have been reported in accordance with our Significant Event procedure) </w:t>
      </w:r>
    </w:p>
    <w:p w14:paraId="60191773"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any infection control audits and actions undertaken </w:t>
      </w:r>
    </w:p>
    <w:p w14:paraId="3DA57034"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any control risk assessments undertaken </w:t>
      </w:r>
    </w:p>
    <w:p w14:paraId="0ECE48D2"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staff training </w:t>
      </w:r>
    </w:p>
    <w:p w14:paraId="2B2C5E16" w14:textId="5B345AF1"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Any review and update of policies, procedures and guidelines </w:t>
      </w:r>
    </w:p>
    <w:p w14:paraId="60222B0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9D8F4B3"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Background</w:t>
      </w:r>
      <w:r w:rsidRPr="00712CBB">
        <w:rPr>
          <w:rFonts w:ascii="Arial" w:eastAsia="Arial" w:hAnsi="Arial" w:cs="Arial"/>
          <w:color w:val="000000"/>
          <w:kern w:val="2"/>
          <w:u w:color="000000"/>
          <w:lang w:val="en-GB" w:eastAsia="en-GB"/>
          <w14:ligatures w14:val="standardContextual"/>
        </w:rPr>
        <w:t xml:space="preserve"> </w:t>
      </w:r>
    </w:p>
    <w:p w14:paraId="33302C0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5A14E5F3" w14:textId="411B5CAF"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proofErr w:type="spellStart"/>
      <w:r>
        <w:rPr>
          <w:rFonts w:ascii="Arial" w:eastAsia="Arial" w:hAnsi="Arial" w:cs="Arial"/>
          <w:color w:val="000000"/>
          <w:kern w:val="2"/>
          <w:lang w:val="en-GB" w:eastAsia="en-GB"/>
          <w14:ligatures w14:val="standardContextual"/>
        </w:rPr>
        <w:t>Coatham</w:t>
      </w:r>
      <w:proofErr w:type="spellEnd"/>
      <w:r>
        <w:rPr>
          <w:rFonts w:ascii="Arial" w:eastAsia="Arial" w:hAnsi="Arial" w:cs="Arial"/>
          <w:color w:val="000000"/>
          <w:kern w:val="2"/>
          <w:lang w:val="en-GB" w:eastAsia="en-GB"/>
          <w14:ligatures w14:val="standardContextual"/>
        </w:rPr>
        <w:t xml:space="preserve"> Surgery</w:t>
      </w:r>
      <w:r w:rsidRPr="00712CBB">
        <w:rPr>
          <w:rFonts w:ascii="Arial" w:eastAsia="Arial" w:hAnsi="Arial" w:cs="Arial"/>
          <w:color w:val="000000"/>
          <w:kern w:val="2"/>
          <w:lang w:val="en-GB" w:eastAsia="en-GB"/>
          <w14:ligatures w14:val="standardContextual"/>
        </w:rPr>
        <w:t xml:space="preserve"> has</w:t>
      </w:r>
      <w:r w:rsidR="00332DEC">
        <w:rPr>
          <w:rFonts w:ascii="Arial" w:eastAsia="Arial" w:hAnsi="Arial" w:cs="Arial"/>
          <w:color w:val="000000"/>
          <w:kern w:val="2"/>
          <w:lang w:val="en-GB" w:eastAsia="en-GB"/>
          <w14:ligatures w14:val="standardContextual"/>
        </w:rPr>
        <w:t xml:space="preserve"> one l</w:t>
      </w:r>
      <w:r w:rsidRPr="00712CBB">
        <w:rPr>
          <w:rFonts w:ascii="Arial" w:eastAsia="Arial" w:hAnsi="Arial" w:cs="Arial"/>
          <w:color w:val="000000"/>
          <w:kern w:val="2"/>
          <w:lang w:val="en-GB" w:eastAsia="en-GB"/>
          <w14:ligatures w14:val="standardContextual"/>
        </w:rPr>
        <w:t xml:space="preserve">ead for Infection, Prevention and Control, Nurse </w:t>
      </w:r>
      <w:r>
        <w:rPr>
          <w:rFonts w:ascii="Arial" w:eastAsia="Arial" w:hAnsi="Arial" w:cs="Arial"/>
          <w:color w:val="000000"/>
          <w:kern w:val="2"/>
          <w:lang w:val="en-GB" w:eastAsia="en-GB"/>
          <w14:ligatures w14:val="standardContextual"/>
        </w:rPr>
        <w:t>Associate Elizabeth Willoughby – Thompson</w:t>
      </w:r>
      <w:r w:rsidR="00332DEC">
        <w:rPr>
          <w:rFonts w:ascii="Arial" w:eastAsia="Arial" w:hAnsi="Arial" w:cs="Arial"/>
          <w:color w:val="000000"/>
          <w:kern w:val="2"/>
          <w:lang w:val="en-GB" w:eastAsia="en-GB"/>
          <w14:ligatures w14:val="standardContextual"/>
        </w:rPr>
        <w:t xml:space="preserve"> s</w:t>
      </w:r>
      <w:r w:rsidRPr="00712CBB">
        <w:rPr>
          <w:rFonts w:ascii="Arial" w:eastAsia="Arial" w:hAnsi="Arial" w:cs="Arial"/>
          <w:color w:val="000000"/>
          <w:kern w:val="2"/>
          <w:lang w:val="en-GB" w:eastAsia="en-GB"/>
          <w14:ligatures w14:val="standardContextual"/>
        </w:rPr>
        <w:t xml:space="preserve">upported by all members of the nursing team.  </w:t>
      </w:r>
    </w:p>
    <w:p w14:paraId="6EC66EF8"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D9C1C2D" w14:textId="77AFB06F"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Elizabeth keep</w:t>
      </w:r>
      <w:r w:rsidR="00332DEC">
        <w:rPr>
          <w:rFonts w:ascii="Arial" w:eastAsia="Arial" w:hAnsi="Arial" w:cs="Arial"/>
          <w:color w:val="000000"/>
          <w:kern w:val="2"/>
          <w:lang w:val="en-GB" w:eastAsia="en-GB"/>
          <w14:ligatures w14:val="standardContextual"/>
        </w:rPr>
        <w:t>s</w:t>
      </w:r>
      <w:r w:rsidRPr="00712CBB">
        <w:rPr>
          <w:rFonts w:ascii="Arial" w:eastAsia="Arial" w:hAnsi="Arial" w:cs="Arial"/>
          <w:color w:val="000000"/>
          <w:kern w:val="2"/>
          <w:lang w:val="en-GB" w:eastAsia="en-GB"/>
          <w14:ligatures w14:val="standardContextual"/>
        </w:rPr>
        <w:t xml:space="preserve"> updated on infection control and shares necessary information with the team. </w:t>
      </w:r>
    </w:p>
    <w:p w14:paraId="78F1BC64"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CD5448F"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Significant Events</w:t>
      </w:r>
      <w:r w:rsidRPr="00712CBB">
        <w:rPr>
          <w:rFonts w:ascii="Arial" w:eastAsia="Arial" w:hAnsi="Arial" w:cs="Arial"/>
          <w:color w:val="000000"/>
          <w:kern w:val="2"/>
          <w:u w:color="000000"/>
          <w:lang w:val="en-GB" w:eastAsia="en-GB"/>
          <w14:ligatures w14:val="standardContextual"/>
        </w:rPr>
        <w:t xml:space="preserve"> </w:t>
      </w:r>
    </w:p>
    <w:p w14:paraId="4CB402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0C0BB44"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In the last year (01/04/2024 – 31/03/2025) there have been no significant events raised that related to infection control. </w:t>
      </w:r>
    </w:p>
    <w:p w14:paraId="6CDCFF2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535B177"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Audits</w:t>
      </w:r>
      <w:r w:rsidRPr="00712CBB">
        <w:rPr>
          <w:rFonts w:ascii="Arial" w:eastAsia="Arial" w:hAnsi="Arial" w:cs="Arial"/>
          <w:color w:val="000000"/>
          <w:kern w:val="2"/>
          <w:u w:color="000000"/>
          <w:lang w:val="en-GB" w:eastAsia="en-GB"/>
          <w14:ligatures w14:val="standardContextual"/>
        </w:rPr>
        <w:t xml:space="preserve">  </w:t>
      </w:r>
    </w:p>
    <w:p w14:paraId="27E61FE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2621278"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Infection Prevention and Control audits have been undertaken regularly throughout the last year and any remedial actions rectified in a timely manner.   </w:t>
      </w:r>
    </w:p>
    <w:p w14:paraId="476B589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C3362C3" w14:textId="77777777" w:rsidR="00712CBB" w:rsidRPr="00712CBB" w:rsidRDefault="00712CBB" w:rsidP="00712CBB">
      <w:pPr>
        <w:spacing w:line="256" w:lineRule="auto"/>
        <w:ind w:left="540" w:hanging="10"/>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Risk Assessments</w:t>
      </w:r>
      <w:r w:rsidRPr="00712CBB">
        <w:rPr>
          <w:rFonts w:ascii="Arial" w:eastAsia="Arial" w:hAnsi="Arial" w:cs="Arial"/>
          <w:color w:val="000000"/>
          <w:kern w:val="2"/>
          <w:lang w:val="en-GB" w:eastAsia="en-GB"/>
          <w14:ligatures w14:val="standardContextual"/>
        </w:rPr>
        <w:t xml:space="preserve"> </w:t>
      </w:r>
    </w:p>
    <w:p w14:paraId="5A60C9F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E314E77"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Annual risk assessment is carried out so best practice can be established and then followed. </w:t>
      </w:r>
    </w:p>
    <w:p w14:paraId="549C127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27DDE11"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Cleaning specifications, frequencies and cleanliness</w:t>
      </w:r>
      <w:r w:rsidRPr="00712CBB">
        <w:rPr>
          <w:rFonts w:ascii="Arial" w:eastAsia="Arial" w:hAnsi="Arial" w:cs="Arial"/>
          <w:color w:val="000000"/>
          <w:kern w:val="2"/>
          <w:u w:color="000000"/>
          <w:lang w:val="en-GB" w:eastAsia="en-GB"/>
          <w14:ligatures w14:val="standardContextual"/>
        </w:rPr>
        <w:t xml:space="preserve">  </w:t>
      </w:r>
    </w:p>
    <w:p w14:paraId="31BCDC70"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5617940" w14:textId="77777777" w:rsidR="00712CBB" w:rsidRPr="00712CBB" w:rsidRDefault="00712CBB" w:rsidP="00712CBB">
      <w:pPr>
        <w:spacing w:after="7" w:line="247" w:lineRule="auto"/>
        <w:ind w:left="556" w:right="190"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We have a cleaning specification and frequency policy which our cleaners work to. A monthly assessment of cleanliness is conducted by the team and again if ever any remedial actions identified these are promptly addressed.   </w:t>
      </w:r>
    </w:p>
    <w:p w14:paraId="77755E7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CB51F37"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B7B7F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BC73D7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lastRenderedPageBreak/>
        <w:t xml:space="preserve"> </w:t>
      </w:r>
    </w:p>
    <w:p w14:paraId="358CF8C9"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Toys, books and magazines</w:t>
      </w:r>
      <w:r w:rsidRPr="00712CBB">
        <w:rPr>
          <w:rFonts w:ascii="Arial" w:eastAsia="Arial" w:hAnsi="Arial" w:cs="Arial"/>
          <w:color w:val="000000"/>
          <w:kern w:val="2"/>
          <w:u w:color="000000"/>
          <w:lang w:val="en-GB" w:eastAsia="en-GB"/>
          <w14:ligatures w14:val="standardContextual"/>
        </w:rPr>
        <w:t xml:space="preserve"> </w:t>
      </w:r>
    </w:p>
    <w:p w14:paraId="7C30FD9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E7DDAD4" w14:textId="77777777" w:rsidR="00712CBB" w:rsidRPr="00712CBB" w:rsidRDefault="00712CBB" w:rsidP="00712CBB">
      <w:pPr>
        <w:spacing w:after="7" w:line="247" w:lineRule="auto"/>
        <w:ind w:left="556" w:right="224"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We have taken the decision to no longer provide magazines or toys to entertain adults or children whilst they are in the waiting room. We feel this is the right action to manage the risk of potential infection.  </w:t>
      </w:r>
    </w:p>
    <w:p w14:paraId="3D40E7C8"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E08CBBA"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Curtains</w:t>
      </w:r>
      <w:r w:rsidRPr="00712CBB">
        <w:rPr>
          <w:rFonts w:ascii="Arial" w:eastAsia="Arial" w:hAnsi="Arial" w:cs="Arial"/>
          <w:color w:val="000000"/>
          <w:kern w:val="2"/>
          <w:u w:color="000000"/>
          <w:lang w:val="en-GB" w:eastAsia="en-GB"/>
          <w14:ligatures w14:val="standardContextual"/>
        </w:rPr>
        <w:t xml:space="preserve"> </w:t>
      </w:r>
    </w:p>
    <w:p w14:paraId="327CAA3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39BAFD0"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Modesty curtains in treatment rooms are disposable and once opened are changed every 12 months as minimum unless necessary to change sooner. </w:t>
      </w:r>
    </w:p>
    <w:p w14:paraId="36B4AD9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C74F4A4"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Staff training</w:t>
      </w:r>
      <w:r w:rsidRPr="00712CBB">
        <w:rPr>
          <w:rFonts w:ascii="Arial" w:eastAsia="Arial" w:hAnsi="Arial" w:cs="Arial"/>
          <w:color w:val="000000"/>
          <w:kern w:val="2"/>
          <w:u w:color="000000"/>
          <w:lang w:val="en-GB" w:eastAsia="en-GB"/>
          <w14:ligatures w14:val="standardContextual"/>
        </w:rPr>
        <w:t xml:space="preserve"> </w:t>
      </w:r>
    </w:p>
    <w:p w14:paraId="3DDA0F8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1932AC6"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All Clinicians complete annual infection control training specifically for their job role.   </w:t>
      </w:r>
    </w:p>
    <w:p w14:paraId="35DCE19F"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5C8559E" w14:textId="627080C0"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Elizabeth and </w:t>
      </w:r>
      <w:r>
        <w:rPr>
          <w:rFonts w:ascii="Arial" w:eastAsia="Arial" w:hAnsi="Arial" w:cs="Arial"/>
          <w:color w:val="000000"/>
          <w:kern w:val="2"/>
          <w:lang w:val="en-GB" w:eastAsia="en-GB"/>
          <w14:ligatures w14:val="standardContextual"/>
        </w:rPr>
        <w:t>Kirsty</w:t>
      </w:r>
      <w:r w:rsidRPr="00712CBB">
        <w:rPr>
          <w:rFonts w:ascii="Arial" w:eastAsia="Arial" w:hAnsi="Arial" w:cs="Arial"/>
          <w:color w:val="000000"/>
          <w:kern w:val="2"/>
          <w:lang w:val="en-GB" w:eastAsia="en-GB"/>
          <w14:ligatures w14:val="standardContextual"/>
        </w:rPr>
        <w:t xml:space="preserve"> have undertaken additional Infection Control training to enhance their role as practice leads.  </w:t>
      </w:r>
    </w:p>
    <w:p w14:paraId="21898BD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4C6208E"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All staff are aware of the importance of hand hygiene and an annual audit to monitor compliance is completed for this also.  </w:t>
      </w:r>
    </w:p>
    <w:p w14:paraId="2FDBA79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8B890E4"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Policies, Procedures and Guidelines</w:t>
      </w:r>
      <w:r w:rsidRPr="00712CBB">
        <w:rPr>
          <w:rFonts w:ascii="Arial" w:eastAsia="Arial" w:hAnsi="Arial" w:cs="Arial"/>
          <w:color w:val="000000"/>
          <w:kern w:val="2"/>
          <w:u w:color="000000"/>
          <w:lang w:val="en-GB" w:eastAsia="en-GB"/>
          <w14:ligatures w14:val="standardContextual"/>
        </w:rPr>
        <w:t xml:space="preserve"> </w:t>
      </w:r>
    </w:p>
    <w:p w14:paraId="7B9B302C"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B9414C7" w14:textId="77777777" w:rsidR="00712CBB" w:rsidRPr="00712CBB" w:rsidRDefault="00712CBB" w:rsidP="00712CBB">
      <w:pPr>
        <w:spacing w:after="115"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Policies relating to Infection Prevention and Control are usually reviewed 2 yearly, or more regularly as per current advice and guidance.  </w:t>
      </w:r>
    </w:p>
    <w:p w14:paraId="4AEDD575" w14:textId="77777777" w:rsidR="00712CBB" w:rsidRPr="00712CBB" w:rsidRDefault="00712CBB" w:rsidP="00712CBB">
      <w:pPr>
        <w:spacing w:after="131"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Every room has been stocked with antibacterial spray/wipes and alcohol gel.  Staff work safely and wear PPE as needed following current IPC guidelines.  </w:t>
      </w:r>
    </w:p>
    <w:p w14:paraId="2122C811" w14:textId="77777777" w:rsidR="00712CBB" w:rsidRPr="00712CBB" w:rsidRDefault="00712CBB" w:rsidP="00712CBB">
      <w:pPr>
        <w:spacing w:after="118"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505050"/>
          <w:kern w:val="2"/>
          <w:lang w:val="en-GB" w:eastAsia="en-GB"/>
          <w14:ligatures w14:val="standardContextual"/>
        </w:rPr>
        <w:t xml:space="preserve"> </w:t>
      </w:r>
    </w:p>
    <w:p w14:paraId="4E61F07E" w14:textId="77777777" w:rsidR="00712CBB" w:rsidRPr="00712CBB" w:rsidRDefault="00712CBB" w:rsidP="00712CBB">
      <w:pPr>
        <w:spacing w:after="87"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505050"/>
          <w:kern w:val="2"/>
          <w:lang w:val="en-GB" w:eastAsia="en-GB"/>
          <w14:ligatures w14:val="standardContextual"/>
        </w:rPr>
        <w:t xml:space="preserve"> </w:t>
      </w:r>
    </w:p>
    <w:p w14:paraId="1E53F4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5C78919" w14:textId="744B4E9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Pr>
          <w:rFonts w:ascii="Arial" w:eastAsia="Arial" w:hAnsi="Arial" w:cs="Arial"/>
          <w:color w:val="000000"/>
          <w:kern w:val="2"/>
          <w:lang w:val="en-GB" w:eastAsia="en-GB"/>
          <w14:ligatures w14:val="standardContextual"/>
        </w:rPr>
        <w:t xml:space="preserve">Holly </w:t>
      </w:r>
      <w:r w:rsidR="00332DEC">
        <w:rPr>
          <w:rFonts w:ascii="Arial" w:eastAsia="Arial" w:hAnsi="Arial" w:cs="Arial"/>
          <w:color w:val="000000"/>
          <w:kern w:val="2"/>
          <w:lang w:val="en-GB" w:eastAsia="en-GB"/>
          <w14:ligatures w14:val="standardContextual"/>
        </w:rPr>
        <w:t>Seymour</w:t>
      </w:r>
    </w:p>
    <w:p w14:paraId="22E331CA"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Practice Manager </w:t>
      </w:r>
    </w:p>
    <w:p w14:paraId="00F9E49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DC2E593" w14:textId="7A797DEB"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For and on behalf of </w:t>
      </w:r>
      <w:proofErr w:type="spellStart"/>
      <w:r>
        <w:rPr>
          <w:rFonts w:ascii="Arial" w:eastAsia="Arial" w:hAnsi="Arial" w:cs="Arial"/>
          <w:color w:val="000000"/>
          <w:kern w:val="2"/>
          <w:lang w:val="en-GB" w:eastAsia="en-GB"/>
          <w14:ligatures w14:val="standardContextual"/>
        </w:rPr>
        <w:t>Coatham</w:t>
      </w:r>
      <w:proofErr w:type="spellEnd"/>
      <w:r>
        <w:rPr>
          <w:rFonts w:ascii="Arial" w:eastAsia="Arial" w:hAnsi="Arial" w:cs="Arial"/>
          <w:color w:val="000000"/>
          <w:kern w:val="2"/>
          <w:lang w:val="en-GB" w:eastAsia="en-GB"/>
          <w14:ligatures w14:val="standardContextual"/>
        </w:rPr>
        <w:t xml:space="preserve"> Surgery</w:t>
      </w:r>
      <w:r w:rsidRPr="00712CBB">
        <w:rPr>
          <w:rFonts w:ascii="Arial" w:eastAsia="Arial" w:hAnsi="Arial" w:cs="Arial"/>
          <w:color w:val="000000"/>
          <w:kern w:val="2"/>
          <w:lang w:val="en-GB" w:eastAsia="en-GB"/>
          <w14:ligatures w14:val="standardContextual"/>
        </w:rPr>
        <w:t xml:space="preserve"> </w:t>
      </w:r>
    </w:p>
    <w:p w14:paraId="08EDE9C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2A2E7789"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Next Statement: April 2026                                                 </w:t>
      </w:r>
    </w:p>
    <w:p w14:paraId="53AC84BE"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C6D5789"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29C3F125"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0F6E3CA" w14:textId="2F03889C" w:rsidR="00447E96" w:rsidRDefault="00447E96" w:rsidP="00D912C3">
      <w:pPr>
        <w:rPr>
          <w:rFonts w:ascii="Segoe UI Light" w:hAnsi="Segoe UI Light" w:cs="Segoe UI Light"/>
          <w:iCs/>
          <w:sz w:val="22"/>
          <w:szCs w:val="22"/>
          <w:lang w:val="en-GB"/>
        </w:rPr>
      </w:pPr>
    </w:p>
    <w:p w14:paraId="7D58548B" w14:textId="77777777" w:rsidR="007461E4" w:rsidRDefault="007461E4" w:rsidP="00D912C3">
      <w:pPr>
        <w:rPr>
          <w:rFonts w:ascii="Segoe UI Light" w:hAnsi="Segoe UI Light" w:cs="Segoe UI Light"/>
          <w:i/>
          <w:sz w:val="22"/>
          <w:szCs w:val="22"/>
          <w:lang w:val="en-GB"/>
        </w:rPr>
      </w:pPr>
    </w:p>
    <w:p w14:paraId="40B064C3" w14:textId="77777777" w:rsidR="007461E4" w:rsidRDefault="007461E4" w:rsidP="00D912C3">
      <w:pPr>
        <w:rPr>
          <w:rFonts w:ascii="Segoe UI Light" w:hAnsi="Segoe UI Light" w:cs="Segoe UI Light"/>
          <w:i/>
          <w:sz w:val="22"/>
          <w:szCs w:val="22"/>
          <w:lang w:val="en-GB"/>
        </w:rPr>
      </w:pPr>
    </w:p>
    <w:p w14:paraId="4A1667E1" w14:textId="77777777" w:rsidR="007461E4" w:rsidRPr="007461E4" w:rsidRDefault="007461E4" w:rsidP="00D912C3">
      <w:pPr>
        <w:rPr>
          <w:rFonts w:ascii="Segoe UI Light" w:hAnsi="Segoe UI Light" w:cs="Segoe UI Light"/>
          <w:bCs/>
          <w:i/>
          <w:sz w:val="22"/>
          <w:szCs w:val="22"/>
          <w:lang w:val="en-GB"/>
        </w:rPr>
      </w:pPr>
    </w:p>
    <w:p w14:paraId="7EC0C992" w14:textId="0A2B70BB" w:rsidR="004B4F55" w:rsidRPr="00447E96" w:rsidRDefault="004B4F55" w:rsidP="00712CBB">
      <w:pPr>
        <w:rPr>
          <w:rFonts w:ascii="Segoe UI Light" w:hAnsi="Segoe UI Light" w:cs="Segoe UI Light"/>
          <w:bCs/>
          <w:sz w:val="22"/>
          <w:szCs w:val="22"/>
          <w:lang w:val="en-GB"/>
        </w:rPr>
        <w:sectPr w:rsidR="004B4F55" w:rsidRPr="00447E96" w:rsidSect="004271FE">
          <w:headerReference w:type="default" r:id="rId8"/>
          <w:pgSz w:w="11906" w:h="16838"/>
          <w:pgMar w:top="1440" w:right="1133" w:bottom="1440" w:left="993" w:header="708" w:footer="0" w:gutter="0"/>
          <w:cols w:space="708"/>
          <w:docGrid w:linePitch="360"/>
        </w:sectPr>
      </w:pPr>
    </w:p>
    <w:p w14:paraId="17CA33B9" w14:textId="416BEBC2" w:rsidR="004C2D97" w:rsidRPr="003D7E64" w:rsidRDefault="004C2D97" w:rsidP="005F60BE">
      <w:pPr>
        <w:pStyle w:val="NoSpacing"/>
        <w:rPr>
          <w:rFonts w:ascii="Tahoma" w:hAnsi="Tahoma" w:cs="Tahoma"/>
          <w:color w:val="222222"/>
          <w:shd w:val="clear" w:color="auto" w:fill="FFFFFF"/>
        </w:rPr>
      </w:pPr>
    </w:p>
    <w:sectPr w:rsidR="004C2D97" w:rsidRPr="003D7E64" w:rsidSect="00ED761E">
      <w:type w:val="continuous"/>
      <w:pgSz w:w="11906" w:h="16838"/>
      <w:pgMar w:top="142" w:right="113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DFDB" w14:textId="77777777" w:rsidR="00DE283C" w:rsidRDefault="00DE283C" w:rsidP="00D912C3">
      <w:r>
        <w:separator/>
      </w:r>
    </w:p>
  </w:endnote>
  <w:endnote w:type="continuationSeparator" w:id="0">
    <w:p w14:paraId="74F4B878" w14:textId="77777777" w:rsidR="00DE283C" w:rsidRDefault="00DE283C" w:rsidP="00D9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3334" w14:textId="77777777" w:rsidR="00DE283C" w:rsidRDefault="00DE283C" w:rsidP="00D912C3">
      <w:r>
        <w:separator/>
      </w:r>
    </w:p>
  </w:footnote>
  <w:footnote w:type="continuationSeparator" w:id="0">
    <w:p w14:paraId="77C7C143" w14:textId="77777777" w:rsidR="00DE283C" w:rsidRDefault="00DE283C" w:rsidP="00D9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9BCC" w14:textId="77777777" w:rsidR="00D912C3" w:rsidRDefault="00D912C3" w:rsidP="00D912C3">
    <w:pPr>
      <w:pStyle w:val="Header"/>
      <w:jc w:val="right"/>
    </w:pPr>
    <w:r>
      <w:rPr>
        <w:noProof/>
      </w:rPr>
      <w:drawing>
        <wp:inline distT="0" distB="0" distL="0" distR="0" wp14:anchorId="6744DD49" wp14:editId="57EA1B86">
          <wp:extent cx="1269292" cy="401769"/>
          <wp:effectExtent l="19050" t="0" r="7058" b="0"/>
          <wp:docPr id="4" name="Picture 0" descr="N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png"/>
                  <pic:cNvPicPr/>
                </pic:nvPicPr>
                <pic:blipFill>
                  <a:blip r:embed="rId1"/>
                  <a:stretch>
                    <a:fillRect/>
                  </a:stretch>
                </pic:blipFill>
                <pic:spPr>
                  <a:xfrm>
                    <a:off x="0" y="0"/>
                    <a:ext cx="1272410" cy="402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59BE"/>
    <w:multiLevelType w:val="hybridMultilevel"/>
    <w:tmpl w:val="1AFE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B3DAA"/>
    <w:multiLevelType w:val="hybridMultilevel"/>
    <w:tmpl w:val="AA0AEF62"/>
    <w:lvl w:ilvl="0" w:tplc="2690E6E8">
      <w:start w:val="1"/>
      <w:numFmt w:val="bullet"/>
      <w:lvlText w:val="•"/>
      <w:lvlJc w:val="left"/>
      <w:pPr>
        <w:ind w:left="12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720A43E">
      <w:start w:val="1"/>
      <w:numFmt w:val="bullet"/>
      <w:lvlText w:val="o"/>
      <w:lvlJc w:val="left"/>
      <w:pPr>
        <w:ind w:left="143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860B55C">
      <w:start w:val="1"/>
      <w:numFmt w:val="bullet"/>
      <w:lvlText w:val="▪"/>
      <w:lvlJc w:val="left"/>
      <w:pPr>
        <w:ind w:left="215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665064">
      <w:start w:val="1"/>
      <w:numFmt w:val="bullet"/>
      <w:lvlText w:val="•"/>
      <w:lvlJc w:val="left"/>
      <w:pPr>
        <w:ind w:left="28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5460FAC">
      <w:start w:val="1"/>
      <w:numFmt w:val="bullet"/>
      <w:lvlText w:val="o"/>
      <w:lvlJc w:val="left"/>
      <w:pPr>
        <w:ind w:left="359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F08940E">
      <w:start w:val="1"/>
      <w:numFmt w:val="bullet"/>
      <w:lvlText w:val="▪"/>
      <w:lvlJc w:val="left"/>
      <w:pPr>
        <w:ind w:left="431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0642D8">
      <w:start w:val="1"/>
      <w:numFmt w:val="bullet"/>
      <w:lvlText w:val="•"/>
      <w:lvlJc w:val="left"/>
      <w:pPr>
        <w:ind w:left="50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884536">
      <w:start w:val="1"/>
      <w:numFmt w:val="bullet"/>
      <w:lvlText w:val="o"/>
      <w:lvlJc w:val="left"/>
      <w:pPr>
        <w:ind w:left="575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F14C6AA">
      <w:start w:val="1"/>
      <w:numFmt w:val="bullet"/>
      <w:lvlText w:val="▪"/>
      <w:lvlJc w:val="left"/>
      <w:pPr>
        <w:ind w:left="647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1369599141">
    <w:abstractNumId w:val="0"/>
  </w:num>
  <w:num w:numId="2" w16cid:durableId="52926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73"/>
    <w:rsid w:val="000142D5"/>
    <w:rsid w:val="00106864"/>
    <w:rsid w:val="0018472F"/>
    <w:rsid w:val="001A66AB"/>
    <w:rsid w:val="001F1E28"/>
    <w:rsid w:val="00325608"/>
    <w:rsid w:val="00332DEC"/>
    <w:rsid w:val="003646E8"/>
    <w:rsid w:val="00382011"/>
    <w:rsid w:val="003C44F9"/>
    <w:rsid w:val="003D7E64"/>
    <w:rsid w:val="004271FE"/>
    <w:rsid w:val="00447E96"/>
    <w:rsid w:val="004B4F55"/>
    <w:rsid w:val="004C2D97"/>
    <w:rsid w:val="00546FEC"/>
    <w:rsid w:val="00581947"/>
    <w:rsid w:val="005B1F73"/>
    <w:rsid w:val="005F60BE"/>
    <w:rsid w:val="006B6364"/>
    <w:rsid w:val="00712CBB"/>
    <w:rsid w:val="007461E4"/>
    <w:rsid w:val="00766338"/>
    <w:rsid w:val="00787F07"/>
    <w:rsid w:val="007B073F"/>
    <w:rsid w:val="00811CC8"/>
    <w:rsid w:val="008B5479"/>
    <w:rsid w:val="008F1307"/>
    <w:rsid w:val="00A610E0"/>
    <w:rsid w:val="00B45101"/>
    <w:rsid w:val="00B86509"/>
    <w:rsid w:val="00CB225F"/>
    <w:rsid w:val="00CC346E"/>
    <w:rsid w:val="00D63015"/>
    <w:rsid w:val="00D63F97"/>
    <w:rsid w:val="00D912C3"/>
    <w:rsid w:val="00DB3749"/>
    <w:rsid w:val="00DE283C"/>
    <w:rsid w:val="00EB1352"/>
    <w:rsid w:val="00ED761E"/>
    <w:rsid w:val="00F01000"/>
    <w:rsid w:val="00F14AA7"/>
    <w:rsid w:val="00F8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87C230"/>
  <w15:docId w15:val="{20FD55FE-68A8-4CC3-B576-7C27BEF6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6E8"/>
    <w:rPr>
      <w:rFonts w:ascii="Tahoma" w:hAnsi="Tahoma" w:cs="Tahoma"/>
      <w:sz w:val="16"/>
      <w:szCs w:val="16"/>
    </w:rPr>
  </w:style>
  <w:style w:type="character" w:customStyle="1" w:styleId="BalloonTextChar">
    <w:name w:val="Balloon Text Char"/>
    <w:basedOn w:val="DefaultParagraphFont"/>
    <w:link w:val="BalloonText"/>
    <w:uiPriority w:val="99"/>
    <w:semiHidden/>
    <w:rsid w:val="003646E8"/>
    <w:rPr>
      <w:rFonts w:ascii="Tahoma" w:eastAsia="Times New Roman" w:hAnsi="Tahoma" w:cs="Tahoma"/>
      <w:sz w:val="16"/>
      <w:szCs w:val="16"/>
      <w:lang w:val="en-US"/>
    </w:rPr>
  </w:style>
  <w:style w:type="paragraph" w:styleId="NoSpacing">
    <w:name w:val="No Spacing"/>
    <w:uiPriority w:val="1"/>
    <w:qFormat/>
    <w:rsid w:val="003646E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D912C3"/>
    <w:pPr>
      <w:tabs>
        <w:tab w:val="center" w:pos="4513"/>
        <w:tab w:val="right" w:pos="9026"/>
      </w:tabs>
    </w:pPr>
  </w:style>
  <w:style w:type="character" w:customStyle="1" w:styleId="HeaderChar">
    <w:name w:val="Header Char"/>
    <w:basedOn w:val="DefaultParagraphFont"/>
    <w:link w:val="Header"/>
    <w:uiPriority w:val="99"/>
    <w:semiHidden/>
    <w:rsid w:val="00D912C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912C3"/>
    <w:pPr>
      <w:tabs>
        <w:tab w:val="center" w:pos="4513"/>
        <w:tab w:val="right" w:pos="9026"/>
      </w:tabs>
    </w:pPr>
  </w:style>
  <w:style w:type="character" w:customStyle="1" w:styleId="FooterChar">
    <w:name w:val="Footer Char"/>
    <w:basedOn w:val="DefaultParagraphFont"/>
    <w:link w:val="Footer"/>
    <w:uiPriority w:val="99"/>
    <w:semiHidden/>
    <w:rsid w:val="00D912C3"/>
    <w:rPr>
      <w:rFonts w:ascii="Times New Roman" w:eastAsia="Times New Roman" w:hAnsi="Times New Roman" w:cs="Times New Roman"/>
      <w:sz w:val="24"/>
      <w:szCs w:val="24"/>
      <w:lang w:val="en-US"/>
    </w:rPr>
  </w:style>
  <w:style w:type="character" w:customStyle="1" w:styleId="grkhzd">
    <w:name w:val="grkhzd"/>
    <w:basedOn w:val="DefaultParagraphFont"/>
    <w:rsid w:val="00447E96"/>
  </w:style>
  <w:style w:type="character" w:customStyle="1" w:styleId="lrzxr">
    <w:name w:val="lrzxr"/>
    <w:basedOn w:val="DefaultParagraphFont"/>
    <w:rsid w:val="00447E96"/>
  </w:style>
  <w:style w:type="paragraph" w:customStyle="1" w:styleId="LetterBodyText">
    <w:name w:val="Letter Body Text"/>
    <w:basedOn w:val="Normal"/>
    <w:rsid w:val="005F60BE"/>
    <w:pPr>
      <w:spacing w:after="200" w:line="288" w:lineRule="auto"/>
    </w:pPr>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5084">
      <w:bodyDiv w:val="1"/>
      <w:marLeft w:val="0"/>
      <w:marRight w:val="0"/>
      <w:marTop w:val="0"/>
      <w:marBottom w:val="0"/>
      <w:divBdr>
        <w:top w:val="none" w:sz="0" w:space="0" w:color="auto"/>
        <w:left w:val="none" w:sz="0" w:space="0" w:color="auto"/>
        <w:bottom w:val="none" w:sz="0" w:space="0" w:color="auto"/>
        <w:right w:val="none" w:sz="0" w:space="0" w:color="auto"/>
      </w:divBdr>
    </w:div>
    <w:div w:id="706562031">
      <w:bodyDiv w:val="1"/>
      <w:marLeft w:val="0"/>
      <w:marRight w:val="0"/>
      <w:marTop w:val="0"/>
      <w:marBottom w:val="0"/>
      <w:divBdr>
        <w:top w:val="none" w:sz="0" w:space="0" w:color="auto"/>
        <w:left w:val="none" w:sz="0" w:space="0" w:color="auto"/>
        <w:bottom w:val="none" w:sz="0" w:space="0" w:color="auto"/>
        <w:right w:val="none" w:sz="0" w:space="0" w:color="auto"/>
      </w:divBdr>
    </w:div>
    <w:div w:id="766268622">
      <w:bodyDiv w:val="1"/>
      <w:marLeft w:val="0"/>
      <w:marRight w:val="0"/>
      <w:marTop w:val="0"/>
      <w:marBottom w:val="0"/>
      <w:divBdr>
        <w:top w:val="none" w:sz="0" w:space="0" w:color="auto"/>
        <w:left w:val="none" w:sz="0" w:space="0" w:color="auto"/>
        <w:bottom w:val="none" w:sz="0" w:space="0" w:color="auto"/>
        <w:right w:val="none" w:sz="0" w:space="0" w:color="auto"/>
      </w:divBdr>
    </w:div>
    <w:div w:id="876545493">
      <w:bodyDiv w:val="1"/>
      <w:marLeft w:val="0"/>
      <w:marRight w:val="0"/>
      <w:marTop w:val="0"/>
      <w:marBottom w:val="0"/>
      <w:divBdr>
        <w:top w:val="none" w:sz="0" w:space="0" w:color="auto"/>
        <w:left w:val="none" w:sz="0" w:space="0" w:color="auto"/>
        <w:bottom w:val="none" w:sz="0" w:space="0" w:color="auto"/>
        <w:right w:val="none" w:sz="0" w:space="0" w:color="auto"/>
      </w:divBdr>
    </w:div>
    <w:div w:id="1014266772">
      <w:bodyDiv w:val="1"/>
      <w:marLeft w:val="0"/>
      <w:marRight w:val="0"/>
      <w:marTop w:val="0"/>
      <w:marBottom w:val="0"/>
      <w:divBdr>
        <w:top w:val="none" w:sz="0" w:space="0" w:color="auto"/>
        <w:left w:val="none" w:sz="0" w:space="0" w:color="auto"/>
        <w:bottom w:val="none" w:sz="0" w:space="0" w:color="auto"/>
        <w:right w:val="none" w:sz="0" w:space="0" w:color="auto"/>
      </w:divBdr>
    </w:div>
    <w:div w:id="1665931301">
      <w:bodyDiv w:val="1"/>
      <w:marLeft w:val="0"/>
      <w:marRight w:val="0"/>
      <w:marTop w:val="0"/>
      <w:marBottom w:val="0"/>
      <w:divBdr>
        <w:top w:val="none" w:sz="0" w:space="0" w:color="auto"/>
        <w:left w:val="none" w:sz="0" w:space="0" w:color="auto"/>
        <w:bottom w:val="none" w:sz="0" w:space="0" w:color="auto"/>
        <w:right w:val="none" w:sz="0" w:space="0" w:color="auto"/>
      </w:divBdr>
    </w:div>
    <w:div w:id="18288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C707-5563-4CBB-BB61-7CF58A50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Barker</dc:creator>
  <cp:lastModifiedBy>Seymour Holly</cp:lastModifiedBy>
  <cp:revision>3</cp:revision>
  <cp:lastPrinted>2023-06-08T14:53:00Z</cp:lastPrinted>
  <dcterms:created xsi:type="dcterms:W3CDTF">2025-04-08T11:46:00Z</dcterms:created>
  <dcterms:modified xsi:type="dcterms:W3CDTF">2025-11-06T15:01:00Z</dcterms:modified>
</cp:coreProperties>
</file>